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AF" w:rsidRPr="00EC7EAF" w:rsidRDefault="00EC7EAF" w:rsidP="00EC7EAF">
      <w:pPr>
        <w:shd w:val="clear" w:color="auto" w:fill="FFFFFF"/>
        <w:spacing w:line="252" w:lineRule="atLeast"/>
        <w:rPr>
          <w:rFonts w:ascii="Arial Unicode MS" w:eastAsia="Arial Unicode MS" w:hAnsi="Arial Unicode MS" w:cs="Arial Unicode MS"/>
          <w:b/>
          <w:bCs/>
          <w:color w:val="333333"/>
          <w:sz w:val="23"/>
          <w:szCs w:val="23"/>
          <w:lang w:eastAsia="de-DE"/>
        </w:rPr>
      </w:pPr>
      <w:bookmarkStart w:id="0" w:name="_GoBack"/>
      <w:bookmarkEnd w:id="0"/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23"/>
          <w:szCs w:val="23"/>
          <w:lang w:eastAsia="de-DE"/>
        </w:rPr>
        <w:t>VIII.5.72 Verzoek tot inzage persoonsgegevens1)2)</w:t>
      </w:r>
    </w:p>
    <w:p w:rsidR="00EC7EAF" w:rsidRPr="00EC7EAF" w:rsidRDefault="00EC7EAF" w:rsidP="00EC7EAF">
      <w:pPr>
        <w:shd w:val="clear" w:color="auto" w:fill="FFFFFF"/>
        <w:spacing w:after="0" w:line="252" w:lineRule="atLeast"/>
        <w:rPr>
          <w:rFonts w:ascii="Arial Unicode MS" w:eastAsia="Arial Unicode MS" w:hAnsi="Arial Unicode MS" w:cs="Arial Unicode MS"/>
          <w:b/>
          <w:bCs/>
          <w:color w:val="333333"/>
          <w:sz w:val="23"/>
          <w:szCs w:val="23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23"/>
          <w:szCs w:val="23"/>
          <w:lang w:eastAsia="de-DE"/>
        </w:rPr>
        <w:t>Samenvatting</w:t>
      </w:r>
    </w:p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Auteur: mr. H.W. Wefers Bettink, </w:t>
      </w:r>
      <w:hyperlink r:id="rId5" w:tgtFrame="_blank" w:history="1">
        <w:r w:rsidRPr="00EC7EAF">
          <w:rPr>
            <w:rFonts w:ascii="Arial Unicode MS" w:eastAsia="Arial Unicode MS" w:hAnsi="Arial Unicode MS" w:cs="Arial Unicode MS" w:hint="eastAsia"/>
            <w:color w:val="007EC9"/>
            <w:sz w:val="18"/>
            <w:szCs w:val="18"/>
            <w:u w:val="single"/>
            <w:lang w:eastAsia="de-DE"/>
          </w:rPr>
          <w:t>advocaat</w:t>
        </w:r>
      </w:hyperlink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bij Houthoff Buruma te Amsterdam</w:t>
      </w:r>
    </w:p>
    <w:p w:rsidR="00EC7EAF" w:rsidRPr="00EC7EAF" w:rsidRDefault="00EC7EAF" w:rsidP="00EC7EAF">
      <w:pPr>
        <w:shd w:val="clear" w:color="auto" w:fill="FFFFFF"/>
        <w:spacing w:after="75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Dit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model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is gebaseerd op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model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</w:t>
      </w:r>
      <w:bookmarkStart w:id="1" w:name="id-6c7a41be-adfd-48fe-99ab-be9463542e6f"/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begin"/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instrText xml:space="preserve"> HYPERLINK "javascript:void(0)" </w:instrTex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separate"/>
      </w:r>
      <w:r w:rsidRPr="00EC7EAF">
        <w:rPr>
          <w:rFonts w:ascii="Arial Unicode MS" w:eastAsia="Arial Unicode MS" w:hAnsi="Arial Unicode MS" w:cs="Arial Unicode MS" w:hint="eastAsia"/>
          <w:color w:val="007EC9"/>
          <w:sz w:val="18"/>
          <w:szCs w:val="18"/>
          <w:u w:val="single"/>
          <w:lang w:eastAsia="de-DE"/>
        </w:rPr>
        <w:t>IV.1.3.1.1</w: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end"/>
      </w:r>
      <w:bookmarkEnd w:id="1"/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. Zie ook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de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toelichting bij dat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model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.</w:t>
      </w:r>
    </w:p>
    <w:p w:rsidR="00EC7EAF" w:rsidRPr="00EC7EAF" w:rsidRDefault="00AD689F" w:rsidP="00EC7EAF">
      <w:pPr>
        <w:shd w:val="clear" w:color="auto" w:fill="FFFFFF"/>
        <w:spacing w:after="75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hyperlink r:id="rId6" w:tgtFrame="_blank" w:history="1">
        <w:r w:rsidR="00EC7EAF" w:rsidRPr="00EC7EAF">
          <w:rPr>
            <w:rFonts w:ascii="Arial Unicode MS" w:eastAsia="Arial Unicode MS" w:hAnsi="Arial Unicode MS" w:cs="Arial Unicode MS" w:hint="eastAsia"/>
            <w:b/>
            <w:bCs/>
            <w:color w:val="007EC9"/>
            <w:sz w:val="18"/>
            <w:szCs w:val="18"/>
            <w:u w:val="single"/>
            <w:shd w:val="clear" w:color="auto" w:fill="FFFF66"/>
            <w:lang w:eastAsia="de-DE"/>
          </w:rPr>
          <w:t>model</w:t>
        </w:r>
      </w:hyperlink>
    </w:p>
    <w:p w:rsidR="00EC7EAF" w:rsidRPr="00EC7EAF" w:rsidRDefault="00EC7EAF" w:rsidP="00EC7EAF">
      <w:pPr>
        <w:shd w:val="clear" w:color="auto" w:fill="FFFFFF"/>
        <w:spacing w:after="0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Aan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de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Rechtbank</w:t>
      </w:r>
    </w:p>
    <w:p w:rsidR="00EC7EAF" w:rsidRPr="00EC7EAF" w:rsidRDefault="00EC7EAF" w:rsidP="00EC7EAF">
      <w:pPr>
        <w:shd w:val="clear" w:color="auto" w:fill="FFFFFF"/>
        <w:spacing w:after="75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te ....</w:t>
      </w:r>
      <w:bookmarkStart w:id="2" w:name="id-5ebfcc13-9d42-4055-9fa4-0a31dd2bca72"/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begin"/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instrText xml:space="preserve"> HYPERLINK "javascript:void(0)" </w:instrTex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separate"/>
      </w:r>
      <w:r w:rsidRPr="00EC7EAF">
        <w:rPr>
          <w:rFonts w:ascii="Arial Unicode MS" w:eastAsia="Arial Unicode MS" w:hAnsi="Arial Unicode MS" w:cs="Arial Unicode MS" w:hint="eastAsia"/>
          <w:color w:val="007EC9"/>
          <w:sz w:val="18"/>
          <w:szCs w:val="18"/>
          <w:u w:val="single"/>
          <w:vertAlign w:val="superscript"/>
          <w:lang w:eastAsia="de-DE"/>
        </w:rPr>
        <w:t>3</w: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end"/>
      </w:r>
      <w:bookmarkEnd w:id="2"/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)</w:t>
      </w:r>
    </w:p>
    <w:p w:rsidR="00EC7EAF" w:rsidRPr="00EC7EAF" w:rsidRDefault="00EC7EAF" w:rsidP="00EC7EAF">
      <w:pPr>
        <w:shd w:val="clear" w:color="auto" w:fill="FFFFFF"/>
        <w:spacing w:after="0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Verzoeker is A [wonende/gevestigd] te ... aan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de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... nr. ...</w:t>
      </w:r>
    </w:p>
    <w:p w:rsidR="00EC7EAF" w:rsidRPr="00EC7EAF" w:rsidRDefault="00EC7EAF" w:rsidP="00EC7EAF">
      <w:pPr>
        <w:shd w:val="clear" w:color="auto" w:fill="FFFFFF"/>
        <w:spacing w:after="75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[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lang w:eastAsia="de-DE"/>
        </w:rPr>
        <w:t>Alternatief 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(indien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de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zaak door een advocaat wordt behandeld): Verzoeker A is [wonende/gevestigd] te ..., die woonplaats kiest op het kantooradres van ... aan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de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... te ... van welk kantoor mr. ... deze zaak als advocaat behandelt.</w:t>
      </w:r>
      <w:bookmarkStart w:id="3" w:name="id-16018570-ba89-4cd8-8824-a5ac1608bdfd"/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begin"/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instrText xml:space="preserve"> HYPERLINK "javascript:void(0)" </w:instrTex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separate"/>
      </w:r>
      <w:r w:rsidRPr="00EC7EAF">
        <w:rPr>
          <w:rFonts w:ascii="Arial Unicode MS" w:eastAsia="Arial Unicode MS" w:hAnsi="Arial Unicode MS" w:cs="Arial Unicode MS" w:hint="eastAsia"/>
          <w:color w:val="007EC9"/>
          <w:sz w:val="18"/>
          <w:szCs w:val="18"/>
          <w:u w:val="single"/>
          <w:vertAlign w:val="superscript"/>
          <w:lang w:eastAsia="de-DE"/>
        </w:rPr>
        <w:t>4</w: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end"/>
      </w:r>
      <w:bookmarkEnd w:id="3"/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)]</w:t>
      </w:r>
    </w:p>
    <w:p w:rsidR="00EC7EAF" w:rsidRPr="00EC7EAF" w:rsidRDefault="00EC7EAF" w:rsidP="00EC7EAF">
      <w:pPr>
        <w:shd w:val="clear" w:color="auto" w:fill="FFFFFF"/>
        <w:spacing w:after="75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Verweerder B is [wonende/gevestigd] te ... aan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de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... nr. ... en kantoorhoudend te ... aan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de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... nr. ...</w:t>
      </w:r>
    </w:p>
    <w:p w:rsidR="00EC7EAF" w:rsidRPr="00EC7EAF" w:rsidRDefault="00EC7EAF" w:rsidP="00EC7EAF">
      <w:pPr>
        <w:shd w:val="clear" w:color="auto" w:fill="FFFFFF"/>
        <w:spacing w:after="0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lang w:eastAsia="de-DE"/>
        </w:rPr>
        <w:t>Grondslag5)</w:t>
      </w:r>
    </w:p>
    <w:p w:rsidR="00EC7EAF" w:rsidRPr="00EC7EAF" w:rsidRDefault="00EC7EAF" w:rsidP="00EC7EAF">
      <w:pPr>
        <w:shd w:val="clear" w:color="auto" w:fill="FFFFFF"/>
        <w:spacing w:after="75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1. B is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de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verantwoordelijke van een verzameling persoonsgegevens</w:t>
      </w:r>
      <w:bookmarkStart w:id="4" w:name="id-9a781893-55a3-465e-89c1-bdc4f86a8f2c"/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begin"/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instrText xml:space="preserve"> HYPERLINK "javascript:void(0)" </w:instrTex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separate"/>
      </w:r>
      <w:r w:rsidRPr="00EC7EAF">
        <w:rPr>
          <w:rFonts w:ascii="Arial Unicode MS" w:eastAsia="Arial Unicode MS" w:hAnsi="Arial Unicode MS" w:cs="Arial Unicode MS" w:hint="eastAsia"/>
          <w:color w:val="007EC9"/>
          <w:sz w:val="18"/>
          <w:szCs w:val="18"/>
          <w:u w:val="single"/>
          <w:vertAlign w:val="superscript"/>
          <w:lang w:eastAsia="de-DE"/>
        </w:rPr>
        <w:t>6</w: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end"/>
      </w:r>
      <w:bookmarkEnd w:id="4"/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) in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de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zin van </w:t>
      </w:r>
      <w:hyperlink r:id="rId7" w:history="1">
        <w:r w:rsidRPr="00EC7EAF">
          <w:rPr>
            <w:rFonts w:ascii="Arial Unicode MS" w:eastAsia="Arial Unicode MS" w:hAnsi="Arial Unicode MS" w:cs="Arial Unicode MS" w:hint="eastAsia"/>
            <w:color w:val="007EC9"/>
            <w:sz w:val="18"/>
            <w:szCs w:val="18"/>
            <w:u w:val="single"/>
            <w:lang w:eastAsia="de-DE"/>
          </w:rPr>
          <w:t>artikel 1</w:t>
        </w:r>
      </w:hyperlink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Wet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bescherming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persoonsgegevens</w:t>
      </w:r>
      <w:bookmarkStart w:id="5" w:name="id-781db861-59b2-4307-a7ea-4d568dd9269d"/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begin"/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instrText xml:space="preserve"> HYPERLINK "javascript:void(0)" </w:instrTex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separate"/>
      </w:r>
      <w:r w:rsidRPr="00EC7EAF">
        <w:rPr>
          <w:rFonts w:ascii="Arial Unicode MS" w:eastAsia="Arial Unicode MS" w:hAnsi="Arial Unicode MS" w:cs="Arial Unicode MS" w:hint="eastAsia"/>
          <w:color w:val="007EC9"/>
          <w:sz w:val="18"/>
          <w:szCs w:val="18"/>
          <w:u w:val="single"/>
          <w:vertAlign w:val="superscript"/>
          <w:lang w:eastAsia="de-DE"/>
        </w:rPr>
        <w:t>7</w: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end"/>
      </w:r>
      <w:bookmarkEnd w:id="5"/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) die zich bevinden in een bestand</w:t>
      </w:r>
      <w:bookmarkStart w:id="6" w:name="id-f02cd3c9-4aa8-445a-8fff-42bb3a045797"/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begin"/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instrText xml:space="preserve"> HYPERLINK "javascript:void(0)" </w:instrTex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separate"/>
      </w:r>
      <w:r w:rsidRPr="00EC7EAF">
        <w:rPr>
          <w:rFonts w:ascii="Arial Unicode MS" w:eastAsia="Arial Unicode MS" w:hAnsi="Arial Unicode MS" w:cs="Arial Unicode MS" w:hint="eastAsia"/>
          <w:color w:val="007EC9"/>
          <w:sz w:val="18"/>
          <w:szCs w:val="18"/>
          <w:u w:val="single"/>
          <w:vertAlign w:val="superscript"/>
          <w:lang w:eastAsia="de-DE"/>
        </w:rPr>
        <w:t>8</w: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end"/>
      </w:r>
      <w:bookmarkEnd w:id="6"/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).</w:t>
      </w:r>
    </w:p>
    <w:p w:rsidR="00EC7EAF" w:rsidRPr="00EC7EAF" w:rsidRDefault="00EC7EAF" w:rsidP="00EC7EAF">
      <w:pPr>
        <w:shd w:val="clear" w:color="auto" w:fill="FFFFFF"/>
        <w:spacing w:after="75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2. Onlangs is aan A bekend geworden, dat hem betreffende persoonsgegevens in het bestand zijn opgenomen.</w:t>
      </w:r>
    </w:p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3. A heeft schriftelijk aan B verzocht: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om hem informatie over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betreffende persoonsgegevens te verstrekken; en met name</w:t>
            </w:r>
          </w:p>
        </w:tc>
      </w:tr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hem binnen vier weken</w:t>
            </w:r>
            <w:bookmarkStart w:id="7" w:name="id-93ea48cd-56ea-4ac1-af99-9f72f05c66e1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HYPERLINK "javascript:void(0)" </w:instrTex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EC7EAF">
              <w:rPr>
                <w:rFonts w:ascii="Times New Roman" w:eastAsia="Times New Roman" w:hAnsi="Times New Roman" w:cs="Times New Roman"/>
                <w:color w:val="007EC9"/>
                <w:sz w:val="18"/>
                <w:szCs w:val="18"/>
                <w:u w:val="single"/>
                <w:vertAlign w:val="superscript"/>
                <w:lang w:eastAsia="de-DE"/>
              </w:rPr>
              <w:t>9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7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) schriftelijk mede te delen of hem betreffende persoonsgegevens worden verwerkt;</w:t>
            </w:r>
          </w:p>
        </w:tc>
      </w:tr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indien hem betreffende persoonsgegevens worden verwerkt: een volledig overzicht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persoonsgegevens, een omschrijving van het doel of doeleinden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verwerking,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categorieën van gegevens waarop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verwerking betrekking heeft en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ontvangers of categorieën van ontvangers, alsmede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beschikbare informatie over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herkomst van gegevens in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schriftelijke mededeling aan A kenbaar te maken</w:t>
            </w:r>
            <w:bookmarkStart w:id="8" w:name="id-64af1886-a162-4f5f-9942-6a1ae3d69c4c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HYPERLINK "javascript:void(0)" </w:instrTex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EC7EAF">
              <w:rPr>
                <w:rFonts w:ascii="Times New Roman" w:eastAsia="Times New Roman" w:hAnsi="Times New Roman" w:cs="Times New Roman"/>
                <w:color w:val="007EC9"/>
                <w:sz w:val="18"/>
                <w:szCs w:val="18"/>
                <w:u w:val="single"/>
                <w:vertAlign w:val="superscript"/>
                <w:lang w:eastAsia="de-DE"/>
              </w:rPr>
              <w:t>10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8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).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75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4. B heeft evenwel geweigerd aan het verzoek onder </w:t>
      </w:r>
      <w:r w:rsidRPr="00EC7EAF">
        <w:rPr>
          <w:rFonts w:ascii="Arial Unicode MS" w:eastAsia="Arial Unicode MS" w:hAnsi="Arial Unicode MS" w:cs="Arial Unicode MS" w:hint="eastAsia"/>
          <w:i/>
          <w:iCs/>
          <w:color w:val="333333"/>
          <w:sz w:val="18"/>
          <w:szCs w:val="18"/>
          <w:lang w:eastAsia="de-DE"/>
        </w:rPr>
        <w:t>3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te voldoen, zodat A zich genoopt ziet zich te wenden tot Uw rechtbank met het verzoek B te bevelen alsnog aan </w:t>
      </w: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shd w:val="clear" w:color="auto" w:fill="FFFF66"/>
          <w:lang w:eastAsia="de-DE"/>
        </w:rPr>
        <w:t>de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verzoeken onder 3 </w:t>
      </w:r>
      <w:r w:rsidRPr="00EC7EAF">
        <w:rPr>
          <w:rFonts w:ascii="Arial Unicode MS" w:eastAsia="Arial Unicode MS" w:hAnsi="Arial Unicode MS" w:cs="Arial Unicode MS" w:hint="eastAsia"/>
          <w:i/>
          <w:iCs/>
          <w:color w:val="333333"/>
          <w:sz w:val="18"/>
          <w:szCs w:val="18"/>
          <w:lang w:eastAsia="de-DE"/>
        </w:rPr>
        <w:t>a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, </w:t>
      </w:r>
      <w:r w:rsidRPr="00EC7EAF">
        <w:rPr>
          <w:rFonts w:ascii="Arial Unicode MS" w:eastAsia="Arial Unicode MS" w:hAnsi="Arial Unicode MS" w:cs="Arial Unicode MS" w:hint="eastAsia"/>
          <w:i/>
          <w:iCs/>
          <w:color w:val="333333"/>
          <w:sz w:val="18"/>
          <w:szCs w:val="18"/>
          <w:lang w:eastAsia="de-DE"/>
        </w:rPr>
        <w:t>b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en </w:t>
      </w:r>
      <w:r w:rsidRPr="00EC7EAF">
        <w:rPr>
          <w:rFonts w:ascii="Arial Unicode MS" w:eastAsia="Arial Unicode MS" w:hAnsi="Arial Unicode MS" w:cs="Arial Unicode MS" w:hint="eastAsia"/>
          <w:i/>
          <w:iCs/>
          <w:color w:val="333333"/>
          <w:sz w:val="18"/>
          <w:szCs w:val="18"/>
          <w:lang w:eastAsia="de-DE"/>
        </w:rPr>
        <w:t>c</w:t>
      </w: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 te voldoen.</w:t>
      </w:r>
    </w:p>
    <w:p w:rsidR="00EC7EAF" w:rsidRPr="00EC7EAF" w:rsidRDefault="00EC7EAF" w:rsidP="00EC7EAF">
      <w:pPr>
        <w:shd w:val="clear" w:color="auto" w:fill="FFFFFF"/>
        <w:spacing w:after="0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b/>
          <w:bCs/>
          <w:color w:val="333333"/>
          <w:sz w:val="18"/>
          <w:szCs w:val="18"/>
          <w:lang w:eastAsia="de-DE"/>
        </w:rPr>
        <w:t>Verzoek</w:t>
      </w:r>
    </w:p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A wendt zich tot Uw rechtbank met het eerbiedig verzoek B als verantwoordelijke van een verzameling persoonsgegevens te veroordelen: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om aan A binnen [een maand] na betekening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beschikking op dit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verzoekschrift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, althans een door Uw rechtbank te bepalen redelijke termijn, tegen vergoeding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kosten</w:t>
            </w:r>
            <w:bookmarkStart w:id="9" w:name="id-a762955b-8865-4380-b37b-5135d4c975ff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HYPERLINK "javascript:void(0)" </w:instrTex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EC7EAF">
              <w:rPr>
                <w:rFonts w:ascii="Times New Roman" w:eastAsia="Times New Roman" w:hAnsi="Times New Roman" w:cs="Times New Roman"/>
                <w:color w:val="007EC9"/>
                <w:sz w:val="18"/>
                <w:szCs w:val="18"/>
                <w:u w:val="single"/>
                <w:vertAlign w:val="superscript"/>
                <w:lang w:eastAsia="de-DE"/>
              </w:rPr>
              <w:t>11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9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) een volledig overzicht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persoonsgegevens, een omschrijving van het doel of doeleinden van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verwerking,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categorieën van gegevens waarop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verwerking betrekking heeft en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ontvangers of categorieën van ontvangers, alsmede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beschikbare informatie over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herkomst van gegevens kenbaar te maken in een schriftelijke mededeling;</w:t>
            </w:r>
          </w:p>
        </w:tc>
      </w:tr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om A binnen [een maand] na betekening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beschikking op dit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verzoekschrift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, althans een door Uw rechtbank te bepalen redelijke termijn, tegen vergoeding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kosten schriftelijk mede te delen of hem betreffende persoonsgegevens uit het bestand aan derden zijn verstrekt en, zo ja, aan wie;</w:t>
            </w:r>
          </w:p>
        </w:tc>
      </w:tr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tot betaling van een dwangsom van € ..., althans een door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rechtbank te bepalen dwangsom,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iedere overtreding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onder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a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en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b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verzochte bevelen, of, naar keuze van A, van € ...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iedere dag of deel daarvan dat B met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gehele of gedeeltelijke nakoming van die bevelen in gebreke blijft</w:t>
            </w:r>
            <w:bookmarkStart w:id="10" w:name="id-2cb4481d-d603-444f-a365-d831a7955593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HYPERLINK "javascript:void(0)" </w:instrTex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EC7EAF">
              <w:rPr>
                <w:rFonts w:ascii="Times New Roman" w:eastAsia="Times New Roman" w:hAnsi="Times New Roman" w:cs="Times New Roman"/>
                <w:color w:val="007EC9"/>
                <w:sz w:val="18"/>
                <w:szCs w:val="18"/>
                <w:u w:val="single"/>
                <w:vertAlign w:val="superscript"/>
                <w:lang w:eastAsia="de-DE"/>
              </w:rPr>
              <w:t>12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10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);</w:t>
            </w:r>
          </w:p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en tevens:</w:t>
            </w:r>
          </w:p>
        </w:tc>
      </w:tr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 te veroordelen in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kosten van dit geding;</w:t>
            </w:r>
          </w:p>
        </w:tc>
      </w:tr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te geven beschikking uitvoerbaar bij voorraad te verklaren</w:t>
            </w:r>
            <w:bookmarkStart w:id="11" w:name="id-85af908d-fc74-4e1b-a2cf-ece236ec5b34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HYPERLINK "javascript:void(0)" </w:instrTex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EC7EAF">
              <w:rPr>
                <w:rFonts w:ascii="Times New Roman" w:eastAsia="Times New Roman" w:hAnsi="Times New Roman" w:cs="Times New Roman"/>
                <w:color w:val="007EC9"/>
                <w:sz w:val="18"/>
                <w:szCs w:val="18"/>
                <w:u w:val="single"/>
                <w:vertAlign w:val="superscript"/>
                <w:lang w:eastAsia="de-DE"/>
              </w:rPr>
              <w:t>13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11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);</w:t>
            </w:r>
          </w:p>
        </w:tc>
      </w:tr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een dag en uur te bepalen, waarop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behandeling van dit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verzoekschrift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zal aanvangen.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0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... ...</w:t>
      </w:r>
    </w:p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[plaats en dagtekening] [handtekening]</w:t>
      </w:r>
      <w:bookmarkStart w:id="12" w:name="id-c9ca2eeb-1367-4ec3-9b97-89ee3b6f374b"/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begin"/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instrText xml:space="preserve"> HYPERLINK "javascript:void(0)" </w:instrTex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separate"/>
      </w:r>
      <w:r w:rsidRPr="00EC7EAF">
        <w:rPr>
          <w:rFonts w:ascii="Arial Unicode MS" w:eastAsia="Arial Unicode MS" w:hAnsi="Arial Unicode MS" w:cs="Arial Unicode MS" w:hint="eastAsia"/>
          <w:color w:val="007EC9"/>
          <w:sz w:val="18"/>
          <w:szCs w:val="18"/>
          <w:u w:val="single"/>
          <w:vertAlign w:val="superscript"/>
          <w:lang w:eastAsia="de-DE"/>
        </w:rPr>
        <w:t>14</w:t>
      </w:r>
      <w:r w:rsidRPr="00EC7EAF"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  <w:fldChar w:fldCharType="end"/>
      </w:r>
      <w:bookmarkEnd w:id="12"/>
      <w:r w:rsidRPr="00EC7EAF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de-DE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65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Met medewerking van mr. F.E. Voorberg.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 grond van art. 35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Wet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bescherming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persoonsgegevens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('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') heeft iedere betrokkene een recht op inzage in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hem betreffende persoonsgegevens. Een betrokkene is op grond van </w:t>
            </w:r>
            <w:hyperlink r:id="rId8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1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sub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f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degene op wie een persoonsgegeven betrekking heeft.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een nadere inkleuring van dit begrip zie ook </w:t>
            </w:r>
            <w:hyperlink r:id="rId9" w:tgtFrame="_blank" w:history="1">
              <w:r w:rsidRPr="00EC7EAF">
                <w:rPr>
                  <w:rFonts w:ascii="Times New Roman" w:eastAsia="Times New Roman" w:hAnsi="Times New Roman" w:cs="Times New Roman"/>
                  <w:i/>
                  <w:iCs/>
                  <w:color w:val="007EC9"/>
                  <w:sz w:val="18"/>
                  <w:szCs w:val="18"/>
                  <w:u w:val="single"/>
                  <w:lang w:eastAsia="de-DE"/>
                </w:rPr>
                <w:t>Kamerstukken II</w:t>
              </w:r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 1997/98, 25 892, nr. 3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, p. 63 (MvT) en zie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een uitleg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term 'verantwoordelijke' noot</w:t>
            </w:r>
            <w:bookmarkStart w:id="13" w:name="id-af642664-815c-485d-aaeb-eabf2be55b5d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HYPERLINK "javascript:void(0)" </w:instrTex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EC7EAF">
              <w:rPr>
                <w:rFonts w:ascii="Times New Roman" w:eastAsia="Times New Roman" w:hAnsi="Times New Roman" w:cs="Times New Roman"/>
                <w:color w:val="007EC9"/>
                <w:sz w:val="18"/>
                <w:szCs w:val="18"/>
                <w:u w:val="single"/>
                <w:lang w:eastAsia="de-DE"/>
              </w:rPr>
              <w:t>7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13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. Dit inzagerecht is een uitwerking van het zogenaamde 'transparantiebeginsel' dat een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pijlers is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. Het inzageverzoek kan alleen worden uitgeoefend indien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van toepassing is. Zie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reikwijdte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wet </w:t>
            </w:r>
            <w:hyperlink r:id="rId10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2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, </w:t>
            </w:r>
            <w:hyperlink r:id="rId11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3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en </w:t>
            </w:r>
            <w:hyperlink r:id="rId12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4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. Een betrokkene hoeft niet aan te geven waarom hij inzage wil. Een verantwoordelijke kan inzage weigeren op grond van een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gronden die genoemd worden in </w:t>
            </w:r>
            <w:hyperlink r:id="rId13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43</w:t>
              </w:r>
            </w:hyperlink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, te weten onder meer sub (i) ter voorkoming, opsporing en vervolging van strafbare feiten — in het belang van het onderzoek kan bijvoorbeeld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sociale recherche inzage weigeren; (ii) bij gewichtige economische en financiële belangen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staat en andere openbare lichamen; (iii)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het toezicht op naleving van wettelijke voorschriften die zijn gesteld ten behoeve van opsporing en vervolging van strafbare feiten of ten behoeve van gewichtige economische en financiële belangen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staat en andere openbare lichamen; en (iv) als dat noodzakelijk is ter bescherming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rechten en vrijheden van anderen waaronder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verantwoordelijke zelf. Een weigering dient te worden gemotiveerd, in tegenstelling tot een inzageverzoek.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verantwoordelijke moet kunnen laten zien dat hij een zorgvuldige afweging heeft gemaakt, wat betekent dat hij bij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weigering zijn eigen belang dient af te wegen tegen het belang en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rechten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betrokkene. Er zijn door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Hoge Raad twee belangrijke arresten gewezen over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reikwijdte en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inhoud van het inzagerecht op grond van </w:t>
            </w:r>
            <w:hyperlink r:id="rId14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35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: HR 29 juni 2007, </w:t>
            </w:r>
            <w:bookmarkStart w:id="14" w:name="id-e740336d-7028-4b60-9c07-14b45a92e00c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HYPERLINK "javascript:void(0)" </w:instrTex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EC7EAF">
              <w:rPr>
                <w:rFonts w:ascii="Times New Roman" w:eastAsia="Times New Roman" w:hAnsi="Times New Roman" w:cs="Times New Roman"/>
                <w:color w:val="007EC9"/>
                <w:sz w:val="18"/>
                <w:szCs w:val="18"/>
                <w:u w:val="single"/>
                <w:lang w:eastAsia="de-DE"/>
              </w:rPr>
              <w:t>ECLI:NL:HR:2007:AZ4663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14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(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Dexia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) en HR 29 juni 2007, , </w:t>
            </w:r>
            <w:bookmarkStart w:id="15" w:name="id-5a1a04b1-af00-4661-8136-5b824a088e84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HYPERLINK "javascript:void(0)" </w:instrTex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EC7EAF">
              <w:rPr>
                <w:rFonts w:ascii="Times New Roman" w:eastAsia="Times New Roman" w:hAnsi="Times New Roman" w:cs="Times New Roman"/>
                <w:color w:val="007EC9"/>
                <w:sz w:val="18"/>
                <w:szCs w:val="18"/>
                <w:u w:val="single"/>
                <w:lang w:eastAsia="de-DE"/>
              </w:rPr>
              <w:t>ECLI:NL:HR:2007:BA3529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15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(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HBU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). In beide zaken heeft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Hoge Raad in het kader van een klant-bank relatie aangenomen dat een betrokkene een vrij uitgebreid inzagerecht heeft, waaraan een eventueel misbruik van recht en doorkruising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exhibitieplicht van </w:t>
            </w:r>
            <w:hyperlink r:id="rId15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843</w:t>
              </w:r>
              <w:r w:rsidRPr="00EC7EAF">
                <w:rPr>
                  <w:rFonts w:ascii="Times New Roman" w:eastAsia="Times New Roman" w:hAnsi="Times New Roman" w:cs="Times New Roman"/>
                  <w:i/>
                  <w:iCs/>
                  <w:color w:val="007EC9"/>
                  <w:sz w:val="18"/>
                  <w:szCs w:val="18"/>
                  <w:u w:val="single"/>
                  <w:lang w:eastAsia="de-DE"/>
                </w:rPr>
                <w:t>a</w:t>
              </w:r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 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Rv niet in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weg staan. Zie verder over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impact van deze uitspraken G.J. Zwenne, 'Nogmaals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winstverdubbelaar',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CR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2007/172; P.J.A.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Hert, e.a., '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na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Dexia-uitspraken',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P&amp;I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augustus 2007; E. Hoving, '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gevolgen van het Dexia-arrest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praktijk',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P&amp;I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december 2007 en J.T. van der Kroon, 'Inzagerecht onder art. 35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: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Hoge Raad biedt (meer) duidelijkheid',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Bb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2007, 55. Het inzagerecht geldt niet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interne notities die uitsluitend bedoeld zijn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intern overleg en beraad (Hof Amsterdam 31 januari 2012, </w:t>
            </w:r>
            <w:bookmarkStart w:id="16" w:name="id-402ba873-4b85-43a6-b88d-6f2db1c8c5e7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HYPERLINK "javascript:void(0)" </w:instrTex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EC7EAF">
              <w:rPr>
                <w:rFonts w:ascii="Times New Roman" w:eastAsia="Times New Roman" w:hAnsi="Times New Roman" w:cs="Times New Roman"/>
                <w:color w:val="007EC9"/>
                <w:sz w:val="18"/>
                <w:szCs w:val="18"/>
                <w:u w:val="single"/>
                <w:lang w:eastAsia="de-DE"/>
              </w:rPr>
              <w:t>ECLI:NL:GHAMS:2012:BV2565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16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). Dit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model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kan alleen gebruikt worden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beslissingen als bedoeld in </w:t>
            </w:r>
            <w:hyperlink r:id="rId16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45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genomen door een ander dan een bestuursorgaan, </w:t>
            </w:r>
            <w:hyperlink r:id="rId17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46 lid 1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. Dit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model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kan niet worden gebruikt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een vordering gericht op schadevergoeding,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een vordering tot verbod van handelen in strijd met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hyperlink r:id="rId18" w:history="1">
              <w:r w:rsidRPr="00EC7EAF">
                <w:rPr>
                  <w:rFonts w:ascii="Times New Roman" w:eastAsia="Times New Roman" w:hAnsi="Times New Roman" w:cs="Times New Roman"/>
                  <w:b/>
                  <w:bCs/>
                  <w:color w:val="007EC9"/>
                  <w:sz w:val="18"/>
                  <w:szCs w:val="18"/>
                  <w:u w:val="single"/>
                  <w:shd w:val="clear" w:color="auto" w:fill="FFFF66"/>
                  <w:lang w:eastAsia="de-DE"/>
                </w:rPr>
                <w:t>Wbp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of het vorderen van een bevel tot het treffen van maatregelen tot herstel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gevolgen van dat handelen.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rechtbank, binnen welks arrondissement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verzoeker woonplaats heeft, is bevoegd kennis te nemen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zaak (</w:t>
            </w:r>
            <w:hyperlink r:id="rId19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46 lid 1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jo.</w:t>
            </w:r>
            <w:hyperlink r:id="rId20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262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sub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a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Rv).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869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Procesvertegenwoordiging door een advocaat is niet verplicht, </w:t>
            </w:r>
            <w:hyperlink r:id="rId21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46 lid 4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Het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verzoekschrift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dient een duidelijke omschrijving van het verzoek en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gronden waarop het berust te bevatten (</w:t>
            </w:r>
            <w:hyperlink r:id="rId22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278 lid 1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Rv). Blijkens</w:t>
            </w:r>
            <w:hyperlink r:id="rId23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283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Rv is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verzoeker zolang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rechter nog geen eindbeslissing heeft gegeven bevoegd het verzoek of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gronden daarvan te verminderen, dan wel schriftelijk te veranderen of te vermeerderen. In het geval van verandering of vermeerdering is verweerder bevoegd hiertegen bezwaar te maken, met het argument dat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verandering of vermeerdering in strijd is met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eisen van een goede procesorde.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In </w:t>
            </w:r>
            <w:hyperlink r:id="rId24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1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sub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a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is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definitie van het begrip 'persoonsgegeven' opgenomen: elk gegeven betreffende een geïdentificeerde of identificeerbaar natuurlijk persoon.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een nadere invulling van deze open norm zie </w:t>
            </w:r>
            <w:hyperlink r:id="rId25" w:tgtFrame="_blank" w:history="1">
              <w:r w:rsidRPr="00EC7EAF">
                <w:rPr>
                  <w:rFonts w:ascii="Times New Roman" w:eastAsia="Times New Roman" w:hAnsi="Times New Roman" w:cs="Times New Roman"/>
                  <w:i/>
                  <w:iCs/>
                  <w:color w:val="007EC9"/>
                  <w:sz w:val="18"/>
                  <w:szCs w:val="18"/>
                  <w:u w:val="single"/>
                  <w:lang w:eastAsia="de-DE"/>
                </w:rPr>
                <w:t>Kamerstukken II</w:t>
              </w:r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 1997/98, 25 892, nr. 3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, p. 45–50 (MvT) en rechtspraak ABRvS 31 januari 2007, ECLI:NL:RVS:2007:AZ7410; Vrz. Rb. Zwolle 22 maart 2004, </w:t>
            </w:r>
            <w:bookmarkStart w:id="17" w:name="id-9c7e639d-db9f-4fdd-966f-417544ed9aa4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HYPERLINK "javascript:void(0)" </w:instrTex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EC7EAF">
              <w:rPr>
                <w:rFonts w:ascii="Times New Roman" w:eastAsia="Times New Roman" w:hAnsi="Times New Roman" w:cs="Times New Roman"/>
                <w:color w:val="007EC9"/>
                <w:sz w:val="18"/>
                <w:szCs w:val="18"/>
                <w:u w:val="single"/>
                <w:lang w:eastAsia="de-DE"/>
              </w:rPr>
              <w:t>ECLI:NL:RBZWO:2004:AO6018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17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; Rb. Zwolle 21 februari 2006, </w:t>
            </w:r>
            <w:hyperlink r:id="rId26" w:tgtFrame="_blank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ECLI:NL:RBZWO:2006:AV3139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; College Bescherming Persoonsgegevens ('CBP') 30 juni 2003, z2003–0477.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uitspraken van het CBP zijn te vinden op </w:t>
            </w:r>
            <w:hyperlink r:id="rId27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www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.cbpweb.nl.. Het op grond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Privacyrichtlijn 95/46/EG ingestelde adviesorgaan Article 29 Data Protection Working Party (hierna, 'Artikel 29 Werkgroep'), heeft op 20 juni 2007 een opinie uitgegeven over het begrip persoonsgegeven: 'Opinion no. 4/2007 on the concept of personal data' </w:t>
            </w:r>
            <w:hyperlink r:id="rId28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WP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136, </w:t>
            </w:r>
            <w:hyperlink r:id="rId29" w:tgtFrame="_blank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http://ec.europa.eu/justice_home/fsj/privacy/workinggroup.</w:t>
              </w:r>
            </w:hyperlink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Zie </w:t>
            </w:r>
            <w:hyperlink r:id="rId30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1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sub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d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. Bij het bepalen wie als verantwoordelijke moet worden aangemerkt wordt gekeken naar wie doel en middelen van een verwerking vaststelt.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een nadere inkleuring van het begrip, zie </w:t>
            </w:r>
            <w:hyperlink r:id="rId31" w:tgtFrame="_blank" w:history="1">
              <w:r w:rsidRPr="00EC7EAF">
                <w:rPr>
                  <w:rFonts w:ascii="Times New Roman" w:eastAsia="Times New Roman" w:hAnsi="Times New Roman" w:cs="Times New Roman"/>
                  <w:i/>
                  <w:iCs/>
                  <w:color w:val="007EC9"/>
                  <w:sz w:val="18"/>
                  <w:szCs w:val="18"/>
                  <w:u w:val="single"/>
                  <w:lang w:eastAsia="de-DE"/>
                </w:rPr>
                <w:t>Kamerstukken II</w:t>
              </w:r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 1997/98, 25 892, nr. 3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p. 55–61 (MvT), en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volgende uitspraken van het CBP: z2001–0506 1 november 2001, z2002–0362 14 mei 2002, z2004–1152 27 mei 2005 en z2005–0505 21 juli 2005.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hyperlink r:id="rId32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Artikel 29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Werkgroep heeft over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begrippen 'verantwoordelijke' en 'bewerker' een opinie gepubliceerd (Opinion 1/2010 on the concepts of 'controller' and 'processor',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WP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169), te raadplegen via:. </w:t>
            </w:r>
            <w:hyperlink r:id="rId33" w:tgtFrame="_blank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http://ec.europa.eu/justice/policies/privacy/docs/wpdocs/2010/wp169_en.pdf.</w:t>
              </w:r>
            </w:hyperlink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In </w:t>
            </w:r>
            <w:hyperlink r:id="rId34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1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sub </w:t>
            </w:r>
            <w:r w:rsidRPr="00EC7E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/>
              </w:rPr>
              <w:t>c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is een definitie van het begrip 'bestand' opgenomen. Zie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een nadere invulling van het begrip: HR 3 juni 2005,</w:t>
            </w:r>
            <w:hyperlink r:id="rId35" w:tgtFrame="_blank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ECLI:NL:HR:2005:AT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1093; Rb. Rotterdam 9 juni 2005, </w:t>
            </w:r>
            <w:hyperlink r:id="rId36" w:tgtFrame="_blank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ECLI:NL:RBROT:2005:AT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7375; Rb. 's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noBreakHyphen/>
              <w:t>Hertogenbosch 11 september 2007,</w:t>
            </w:r>
            <w:bookmarkStart w:id="18" w:name="id-a3cb392d-5cd0-42e7-a1b3-efdcc6ee0aed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HYPERLINK "javascript:void(0)" </w:instrTex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EC7EAF">
              <w:rPr>
                <w:rFonts w:ascii="Times New Roman" w:eastAsia="Times New Roman" w:hAnsi="Times New Roman" w:cs="Times New Roman"/>
                <w:color w:val="007EC9"/>
                <w:sz w:val="18"/>
                <w:szCs w:val="18"/>
                <w:u w:val="single"/>
                <w:lang w:eastAsia="de-DE"/>
              </w:rPr>
              <w:t>ECLI:NL:RBSHE:2007:BB3700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18"/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310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Dit is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termijn die in </w:t>
            </w:r>
            <w:hyperlink r:id="rId37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35 lid 1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wordt gehanteerd.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381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EC7EAF" w:rsidRPr="00EC7EAF" w:rsidRDefault="00AD689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38" w:history="1">
              <w:r w:rsidR="00EC7EAF"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35 lid 2</w:t>
              </w:r>
            </w:hyperlink>
            <w:r w:rsidR="00EC7EAF"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="00EC7EAF"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="00EC7EAF"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 grond van </w:t>
            </w:r>
            <w:hyperlink r:id="rId39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39 lid 1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kan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verantwoordelijke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een bericht als bedoeld in </w:t>
            </w:r>
            <w:hyperlink r:id="rId40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35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een vergoeding van kosten verlangen.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een inzage verzoek mag maximaal € 5 vergoeding worden gevraagd. Er is alleen een uitzondering gemaakt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afschriften van meer dan honderd pagina's of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moeilijk toegankelijke gegevensverwerkingen. In dat geval mag maximaal € 22,50 vergoeding gevraagd worden. Zie verder </w:t>
            </w:r>
            <w:hyperlink r:id="rId41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Besluit kostenvergoeding rechten betrokkene </w:t>
              </w:r>
              <w:r w:rsidRPr="00EC7EAF">
                <w:rPr>
                  <w:rFonts w:ascii="Times New Roman" w:eastAsia="Times New Roman" w:hAnsi="Times New Roman" w:cs="Times New Roman"/>
                  <w:b/>
                  <w:bCs/>
                  <w:color w:val="007EC9"/>
                  <w:sz w:val="18"/>
                  <w:szCs w:val="18"/>
                  <w:u w:val="single"/>
                  <w:shd w:val="clear" w:color="auto" w:fill="FFFF66"/>
                  <w:lang w:eastAsia="de-DE"/>
                </w:rPr>
                <w:t>Wbp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van 13 juni 2001.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Voor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een nadere uitwerking van het begrip 'moeilijk toegankelijke gegevensverwerking', zie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uitspraak van het CBP: z2006–00052 12 juni 2006.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Uit </w:t>
            </w:r>
            <w:hyperlink r:id="rId42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46 lid 5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volgt dat </w:t>
            </w:r>
            <w:hyperlink r:id="rId43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611</w:t>
              </w:r>
              <w:r w:rsidRPr="00EC7EAF">
                <w:rPr>
                  <w:rFonts w:ascii="Times New Roman" w:eastAsia="Times New Roman" w:hAnsi="Times New Roman" w:cs="Times New Roman"/>
                  <w:i/>
                  <w:iCs/>
                  <w:color w:val="007EC9"/>
                  <w:sz w:val="18"/>
                  <w:szCs w:val="18"/>
                  <w:u w:val="single"/>
                  <w:lang w:eastAsia="de-DE"/>
                </w:rPr>
                <w:t>a</w:t>
              </w:r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 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e.v. Rv van overeenkomstige toepassing zijn.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dwangsom kan op deze grond toegepast worden bij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hyperlink r:id="rId44" w:history="1">
              <w:r w:rsidRPr="00EC7EAF">
                <w:rPr>
                  <w:rFonts w:ascii="Times New Roman" w:eastAsia="Times New Roman" w:hAnsi="Times New Roman" w:cs="Times New Roman"/>
                  <w:b/>
                  <w:bCs/>
                  <w:color w:val="007EC9"/>
                  <w:sz w:val="18"/>
                  <w:szCs w:val="18"/>
                  <w:u w:val="single"/>
                  <w:shd w:val="clear" w:color="auto" w:fill="FFFF66"/>
                  <w:lang w:eastAsia="de-DE"/>
                </w:rPr>
                <w:t>Wbp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 grond van </w:t>
            </w:r>
            <w:hyperlink r:id="rId45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288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Rv kan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rechter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eindbeschikking uitvoerbaar bij voorraad verklaren, met of zonder zekerheidstelling.</w:t>
            </w:r>
          </w:p>
        </w:tc>
      </w:tr>
    </w:tbl>
    <w:p w:rsidR="00EC7EAF" w:rsidRPr="00EC7EAF" w:rsidRDefault="00EC7EAF" w:rsidP="00EC7EAF">
      <w:pPr>
        <w:shd w:val="clear" w:color="auto" w:fill="FFFFFF"/>
        <w:spacing w:after="150" w:line="252" w:lineRule="atLeast"/>
        <w:rPr>
          <w:rFonts w:ascii="Arial Unicode MS" w:eastAsia="Arial Unicode MS" w:hAnsi="Arial Unicode MS" w:cs="Arial Unicode MS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27"/>
      </w:tblGrid>
      <w:tr w:rsidR="00EC7EAF" w:rsidRPr="00EC7EAF" w:rsidTr="00EC7EAF">
        <w:tc>
          <w:tcPr>
            <w:tcW w:w="375" w:type="dxa"/>
            <w:hideMark/>
          </w:tcPr>
          <w:p w:rsidR="00EC7EAF" w:rsidRPr="00EC7EAF" w:rsidRDefault="00EC7EAF" w:rsidP="00EC7EA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hideMark/>
          </w:tcPr>
          <w:p w:rsidR="00EC7EAF" w:rsidRPr="00EC7EAF" w:rsidRDefault="00EC7EAF" w:rsidP="00EC7EA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Het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verzoekschrift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moet worden ingediend binnen zes weken na ontvangst van het antwoord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verantwoordelijke. Indien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verantwoordelijke niet binnen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gestelde termijn heeft geantwoord, moet het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verzoekschrift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worden ingediend binnen zes weken na afloop van die termijn (</w:t>
            </w:r>
            <w:hyperlink r:id="rId46" w:history="1">
              <w:r w:rsidRPr="00EC7EAF">
                <w:rPr>
                  <w:rFonts w:ascii="Times New Roman" w:eastAsia="Times New Roman" w:hAnsi="Times New Roman" w:cs="Times New Roman"/>
                  <w:color w:val="007EC9"/>
                  <w:sz w:val="18"/>
                  <w:szCs w:val="18"/>
                  <w:u w:val="single"/>
                  <w:lang w:eastAsia="de-DE"/>
                </w:rPr>
                <w:t>art. 46 lid 2</w:t>
              </w:r>
            </w:hyperlink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Wbp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). Een verzoek aan het CBP om advies of bemiddeling schorst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looptijd van </w:t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66"/>
                <w:lang w:eastAsia="de-DE"/>
              </w:rPr>
              <w:t>de</w:t>
            </w: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beroepstermijn.</w:t>
            </w:r>
          </w:p>
        </w:tc>
      </w:tr>
    </w:tbl>
    <w:p w:rsidR="00EC7EAF" w:rsidRPr="00EC7EAF" w:rsidRDefault="00AD689F" w:rsidP="00EC7EAF">
      <w:pPr>
        <w:shd w:val="clear" w:color="auto" w:fill="FFFFFF"/>
        <w:spacing w:after="0" w:line="252" w:lineRule="atLeast"/>
        <w:rPr>
          <w:rFonts w:ascii="Arial Unicode MS" w:eastAsia="Arial Unicode MS" w:hAnsi="Arial Unicode MS" w:cs="Arial Unicode MS"/>
          <w:color w:val="333333"/>
          <w:sz w:val="18"/>
          <w:szCs w:val="18"/>
          <w:lang w:eastAsia="de-DE"/>
        </w:rPr>
      </w:pPr>
      <w:hyperlink r:id="rId47" w:history="1">
        <w:r w:rsidR="00EC7EAF" w:rsidRPr="00EC7EAF">
          <w:rPr>
            <w:rFonts w:ascii="Arial Unicode MS" w:eastAsia="Arial Unicode MS" w:hAnsi="Arial Unicode MS" w:cs="Arial Unicode MS" w:hint="eastAsia"/>
            <w:color w:val="007EC9"/>
            <w:sz w:val="18"/>
            <w:szCs w:val="18"/>
            <w:u w:val="single"/>
            <w:lang w:eastAsia="de-DE"/>
          </w:rPr>
          <w:t>Terug naar boven</w:t>
        </w:r>
      </w:hyperlink>
    </w:p>
    <w:p w:rsidR="002A7C7E" w:rsidRDefault="00AD689F"/>
    <w:sectPr w:rsidR="002A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F"/>
    <w:rsid w:val="00AD689F"/>
    <w:rsid w:val="00AD6ED6"/>
    <w:rsid w:val="00E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2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1D1D1"/>
                        <w:right w:val="none" w:sz="0" w:space="0" w:color="auto"/>
                      </w:divBdr>
                      <w:divsChild>
                        <w:div w:id="7022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56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928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71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1284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968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0771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844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9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690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15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84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7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839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843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28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6121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64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9890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7827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4151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4832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2916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3236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9897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2361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6869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975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987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09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4049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://data.rechtspraak.nl/uitspraken/content?id=ECLI:NL:RBZWO:2006:AV3139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https://zoek.officielebekendmakingen.nl/kst-25892-3.html" TargetMode="External"/><Relationship Id="rId33" Type="http://schemas.openxmlformats.org/officeDocument/2006/relationships/hyperlink" Target="http://ec.europa.eu/justice/policies/privacy/docs/wpdocs/2010/wp169_en.pdf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://ec.europa.eu/justice_home/fsj/privacy/workinggroup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luwer.nl/tool/jur/modrp_VIII_5_72_Verzoek_tot_inzage_persoonsgegevens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" Type="http://schemas.openxmlformats.org/officeDocument/2006/relationships/hyperlink" Target="http://www.houthoff.com/lawyers/wolterwefers-bettink/show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http://data.rechtspraak.nl/uitspraken/content?id=ECLI:NL:RBROT:2005:AT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https://zoek.officielebekendmakingen.nl/kst-25892-3.html" TargetMode="External"/><Relationship Id="rId44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ek.officielebekendmakingen.nl/kst-25892-3.html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://data.rechtspraak.nl/uitspraken/content?id=ECLI:NL:HR:2005:AT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fontTable" Target="fontTable.xml"/><Relationship Id="rId8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1835</Words>
  <Characters>11566</Characters>
  <Application>Microsoft Office Word</Application>
  <DocSecurity>0</DocSecurity>
  <Lines>96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Jawohl</dc:creator>
  <cp:lastModifiedBy>ja wohl</cp:lastModifiedBy>
  <cp:revision>2</cp:revision>
  <dcterms:created xsi:type="dcterms:W3CDTF">2017-02-03T12:48:00Z</dcterms:created>
  <dcterms:modified xsi:type="dcterms:W3CDTF">2017-02-03T12:48:00Z</dcterms:modified>
</cp:coreProperties>
</file>